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147DB2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147DB2">
        <w:t>Divyash</w:t>
      </w:r>
      <w:proofErr w:type="spellEnd"/>
      <w:r w:rsidR="00147DB2">
        <w:t xml:space="preserve"> </w:t>
      </w:r>
      <w:proofErr w:type="spellStart"/>
      <w:r w:rsidR="00147DB2">
        <w:t>Shukla</w:t>
      </w:r>
      <w:proofErr w:type="spellEnd"/>
      <w:r w:rsidR="00147DB2">
        <w:t xml:space="preserve">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147DB2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